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A6" w:rsidRPr="00460AEE" w:rsidRDefault="00460AEE" w:rsidP="0054174E">
      <w:pPr>
        <w:pStyle w:val="Bezmezer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</w:t>
      </w:r>
      <w:r w:rsidRPr="00460AEE">
        <w:rPr>
          <w:rFonts w:ascii="Times New Roman" w:hAnsi="Times New Roman"/>
          <w:b/>
          <w:sz w:val="24"/>
          <w:szCs w:val="24"/>
          <w:lang w:eastAsia="cs-CZ"/>
        </w:rPr>
        <w:t>III.</w:t>
      </w:r>
    </w:p>
    <w:p w:rsidR="004179B8" w:rsidRDefault="004179B8" w:rsidP="0054174E">
      <w:pPr>
        <w:pStyle w:val="Bezmezer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5308D8" w:rsidRDefault="00460AEE" w:rsidP="00AB0091">
      <w:pPr>
        <w:pStyle w:val="Bezmezer"/>
        <w:jc w:val="cent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N</w:t>
      </w:r>
      <w:r w:rsidR="005308D8" w:rsidRPr="0054174E">
        <w:rPr>
          <w:rFonts w:ascii="Times New Roman" w:hAnsi="Times New Roman"/>
          <w:sz w:val="24"/>
          <w:szCs w:val="24"/>
          <w:lang w:eastAsia="cs-CZ"/>
        </w:rPr>
        <w:t xml:space="preserve"> á v r h</w:t>
      </w:r>
    </w:p>
    <w:p w:rsidR="005308D8" w:rsidRPr="0054174E" w:rsidRDefault="005308D8" w:rsidP="000300DF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:rsidR="005308D8" w:rsidRPr="0054174E" w:rsidRDefault="005308D8" w:rsidP="0054174E">
      <w:pPr>
        <w:pStyle w:val="Bezmezer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54174E">
        <w:rPr>
          <w:rFonts w:ascii="Times New Roman" w:hAnsi="Times New Roman"/>
          <w:b/>
          <w:sz w:val="24"/>
          <w:szCs w:val="24"/>
          <w:lang w:eastAsia="cs-CZ"/>
        </w:rPr>
        <w:t>ZÁKON</w:t>
      </w:r>
    </w:p>
    <w:p w:rsidR="005308D8" w:rsidRPr="0054174E" w:rsidRDefault="005308D8" w:rsidP="0054174E">
      <w:pPr>
        <w:pStyle w:val="Bezmezer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5308D8" w:rsidRPr="0054174E" w:rsidRDefault="00460AEE" w:rsidP="0054174E">
      <w:pPr>
        <w:pStyle w:val="Bezmezer"/>
        <w:jc w:val="cent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ze dne ……………………2018</w:t>
      </w:r>
      <w:r w:rsidR="005308D8" w:rsidRPr="0054174E">
        <w:rPr>
          <w:rFonts w:ascii="Times New Roman" w:hAnsi="Times New Roman"/>
          <w:sz w:val="24"/>
          <w:szCs w:val="24"/>
          <w:lang w:eastAsia="cs-CZ"/>
        </w:rPr>
        <w:t>,</w:t>
      </w:r>
    </w:p>
    <w:p w:rsidR="005308D8" w:rsidRPr="0054174E" w:rsidRDefault="005308D8" w:rsidP="0054174E">
      <w:pPr>
        <w:pStyle w:val="Bezmezer"/>
        <w:jc w:val="center"/>
        <w:rPr>
          <w:rFonts w:ascii="Times New Roman" w:hAnsi="Times New Roman"/>
          <w:noProof/>
          <w:sz w:val="24"/>
          <w:szCs w:val="24"/>
          <w:lang w:eastAsia="cs-CZ"/>
        </w:rPr>
      </w:pPr>
    </w:p>
    <w:p w:rsidR="005308D8" w:rsidRDefault="00460AEE" w:rsidP="0054174E">
      <w:pPr>
        <w:pStyle w:val="Bezmezer"/>
        <w:jc w:val="center"/>
        <w:rPr>
          <w:rFonts w:ascii="Times New Roman" w:hAnsi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t>kterým se mění zákon č. 155/1995</w:t>
      </w:r>
      <w:r w:rsidR="005308D8" w:rsidRPr="0054174E">
        <w:rPr>
          <w:rFonts w:ascii="Times New Roman" w:hAnsi="Times New Roman"/>
          <w:b/>
          <w:noProof/>
          <w:sz w:val="24"/>
          <w:szCs w:val="24"/>
          <w:lang w:eastAsia="cs-CZ"/>
        </w:rPr>
        <w:t xml:space="preserve"> Sb., o </w: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w:t xml:space="preserve">důchodovém pojištění,  </w:t>
      </w:r>
      <w:r w:rsidR="00023BF4" w:rsidRPr="0054174E">
        <w:rPr>
          <w:rFonts w:ascii="Times New Roman" w:hAnsi="Times New Roman"/>
          <w:b/>
          <w:noProof/>
          <w:sz w:val="24"/>
          <w:szCs w:val="24"/>
          <w:lang w:eastAsia="cs-CZ"/>
        </w:rPr>
        <w:t>ve </w: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w:t>znění pozdějších předpisů</w:t>
      </w:r>
    </w:p>
    <w:p w:rsidR="009D16A1" w:rsidRPr="0054174E" w:rsidRDefault="009D16A1" w:rsidP="0054174E">
      <w:pPr>
        <w:pStyle w:val="Bezmezer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308D8" w:rsidRPr="0054174E" w:rsidRDefault="005308D8" w:rsidP="0054174E">
      <w:pPr>
        <w:pStyle w:val="Bezmezer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308D8" w:rsidRPr="0054174E" w:rsidRDefault="009D16A1" w:rsidP="007D7674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</w:t>
      </w:r>
      <w:r w:rsidR="005308D8" w:rsidRPr="0054174E">
        <w:rPr>
          <w:rFonts w:ascii="Times New Roman" w:eastAsia="Times New Roman" w:hAnsi="Times New Roman"/>
          <w:sz w:val="24"/>
          <w:szCs w:val="24"/>
          <w:lang w:eastAsia="cs-CZ"/>
        </w:rPr>
        <w:t>Parlament se usnesl na tomto zákoně České republiky:</w:t>
      </w:r>
    </w:p>
    <w:p w:rsidR="006601EF" w:rsidRPr="0054174E" w:rsidRDefault="006601EF" w:rsidP="0054174E">
      <w:pPr>
        <w:pStyle w:val="Bezmezer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5308D8" w:rsidRPr="0054174E" w:rsidRDefault="005308D8" w:rsidP="0054174E">
      <w:pPr>
        <w:pStyle w:val="Bezmezer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5308D8" w:rsidRPr="0054174E" w:rsidRDefault="005308D8" w:rsidP="0054174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5308D8" w:rsidRPr="0054174E" w:rsidRDefault="005308D8" w:rsidP="0054174E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54174E">
        <w:rPr>
          <w:rFonts w:ascii="Times New Roman" w:hAnsi="Times New Roman"/>
          <w:sz w:val="24"/>
          <w:szCs w:val="24"/>
        </w:rPr>
        <w:t>Čl. I</w:t>
      </w:r>
    </w:p>
    <w:p w:rsidR="00AC74EE" w:rsidRDefault="00AC74EE" w:rsidP="00460AEE">
      <w:pPr>
        <w:pStyle w:val="Bezmez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7A5CE5" w:rsidRDefault="007A5CE5" w:rsidP="007A5CE5">
      <w:pPr>
        <w:pStyle w:val="Bezmezer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Zákon č. 155/1995 Sb., o důchodovém pojištění, ve znění zákona č. 134/1997 Sb., zákona č. 289/1997 Sb., zákona č. 224/1999 Sb., zákona č. 18/2000 Sb., zákona č. 118/2000 Sb., zákona č. 132/2000 Sb., zákona č. 220/2000 Sb., zákona č. 116/2001 Sb., zákona č. 188/2001 Sb., zákona č. 353/2001 Sb., zákona č. 198/2002 Sb., zákona č.  263/2002 Sb., zákona č. 264/2002 Sb., zákona č. 362/2003 Sb., zákona č. 424/2003 Sb., zákona č. 425/2003 Sb., zákona č. 85/2004 Sb., zákona č. 281/2004 Sb., zákona č. 359/2004 Sb., zákona č. 436/2004 Sb., zákona č. 562/2004 Sb., zákona č. 168/2005 Sb., zákona č. 361/2005 Sb., zákona č. 377/2005 Sb., zákona č. 24/2006 Sb., zákona č. 109/2006 Sb., zákona č. 189/2006 Sb., zákona č. 264/2006 Sb., zákona č. 267/2006 Sb., nálezu Ústavního soudu, vyhlášeného pod č. 405/2006 Sb., zákona č. 152/2007 Sb., zákona č. 181/2007 Sb., zákona č. 218/2007 Sb., zákona č. 261/2007 Sb., zákona č. 296/2007 Sb., zákona č. 178/2008 Sb., zákona č. 305/2008 Sb., zákona č. 306/2008 Sb., zákona č. 382/2008 Sb., zákona č. 479/2008 Sb., zákona č. 41/2009 Sb., zákona č. 108/2009 Sb., zákona č. 158/2009 Sb., zákona č. 303/2009 Sb., nálezu Ústavního soudu, vyhlášeného pod č. 135/2010 Sb., zákona č. 347/2010 Sb., zákona č. 73/2011 Sb., zákona č. 220/2011 Sb., zákona č. 341/2011 Sb., zákona č. 348/2011 Sb., zákona č. 364/2011 Sb., zákona č. 365/2011 Sb., zákona č. 428/2011 Sb., zákona č. 458/2011 Sb., zákona č. 470/2011 Sb., zákona č. 314/2012 Sb., zákona č. 401/2012 Sb., zákona č. 403/2012 Sb., zákona č. 463/2012 Sb., zákona č. 267/2013 Sb., zákona č. 274/2013 Sb., zákona č. 303/2013 Sb., zákonného opatření Senátu č. 344/2013 Sb., zákona č. 182/2014 Sb., zákona č. 183/2014  Sb., zákona č. 250/2014 Sb., zákona č. 267/2014 Sb., zákona č. 332/2014 Sb., zákona č. 131/2015 Sb., zákon</w:t>
      </w:r>
      <w:r w:rsidR="001A6AA6">
        <w:rPr>
          <w:rFonts w:ascii="Times New Roman" w:eastAsia="Calibri" w:hAnsi="Times New Roman"/>
          <w:sz w:val="24"/>
          <w:szCs w:val="24"/>
        </w:rPr>
        <w:t>a č. 377/2015 Sb.</w:t>
      </w:r>
      <w:r w:rsidR="00C70E9B">
        <w:rPr>
          <w:rFonts w:ascii="Times New Roman" w:eastAsia="Calibri" w:hAnsi="Times New Roman"/>
          <w:sz w:val="24"/>
          <w:szCs w:val="24"/>
        </w:rPr>
        <w:t>,</w:t>
      </w:r>
      <w:r w:rsidR="00BC116E">
        <w:rPr>
          <w:rFonts w:ascii="Times New Roman" w:eastAsia="Calibri" w:hAnsi="Times New Roman"/>
          <w:sz w:val="24"/>
          <w:szCs w:val="24"/>
        </w:rPr>
        <w:t xml:space="preserve"> </w:t>
      </w:r>
      <w:r w:rsidR="001A6AA6">
        <w:rPr>
          <w:rFonts w:ascii="Times New Roman" w:eastAsia="Calibri" w:hAnsi="Times New Roman"/>
          <w:sz w:val="24"/>
          <w:szCs w:val="24"/>
        </w:rPr>
        <w:t>zákona č. 47</w:t>
      </w:r>
      <w:r w:rsidR="00636125">
        <w:rPr>
          <w:rFonts w:ascii="Times New Roman" w:eastAsia="Calibri" w:hAnsi="Times New Roman"/>
          <w:sz w:val="24"/>
          <w:szCs w:val="24"/>
        </w:rPr>
        <w:t>/</w:t>
      </w:r>
      <w:r>
        <w:rPr>
          <w:rFonts w:ascii="Times New Roman" w:eastAsia="Calibri" w:hAnsi="Times New Roman"/>
          <w:sz w:val="24"/>
          <w:szCs w:val="24"/>
        </w:rPr>
        <w:t>2016 Sb.</w:t>
      </w:r>
      <w:r w:rsidR="003A1BE4">
        <w:rPr>
          <w:rFonts w:ascii="Times New Roman" w:eastAsia="Calibri" w:hAnsi="Times New Roman"/>
          <w:sz w:val="24"/>
          <w:szCs w:val="24"/>
        </w:rPr>
        <w:t xml:space="preserve">, </w:t>
      </w:r>
      <w:r w:rsidR="00C70E9B">
        <w:rPr>
          <w:rFonts w:ascii="Times New Roman" w:eastAsia="Calibri" w:hAnsi="Times New Roman"/>
          <w:sz w:val="24"/>
          <w:szCs w:val="24"/>
        </w:rPr>
        <w:t>zákona č. 137/2016 Sb</w:t>
      </w:r>
      <w:r w:rsidR="00753827">
        <w:rPr>
          <w:rFonts w:ascii="Times New Roman" w:eastAsia="Calibri" w:hAnsi="Times New Roman"/>
          <w:sz w:val="24"/>
          <w:szCs w:val="24"/>
        </w:rPr>
        <w:t xml:space="preserve">., </w:t>
      </w:r>
      <w:r w:rsidR="003A1BE4">
        <w:rPr>
          <w:rFonts w:ascii="Times New Roman" w:eastAsia="Calibri" w:hAnsi="Times New Roman"/>
          <w:sz w:val="24"/>
          <w:szCs w:val="24"/>
        </w:rPr>
        <w:t>zákona č. 190/2016 Sb.</w:t>
      </w:r>
      <w:r w:rsidR="001A6AA6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753827">
        <w:rPr>
          <w:rFonts w:ascii="Times New Roman" w:eastAsia="Calibri" w:hAnsi="Times New Roman"/>
          <w:sz w:val="24"/>
          <w:szCs w:val="24"/>
        </w:rPr>
        <w:t>zákona č. 212/2016 Sb.</w:t>
      </w:r>
      <w:r w:rsidR="00460AEE">
        <w:rPr>
          <w:rFonts w:ascii="Times New Roman" w:eastAsia="Calibri" w:hAnsi="Times New Roman"/>
          <w:sz w:val="24"/>
          <w:szCs w:val="24"/>
        </w:rPr>
        <w:t>,</w:t>
      </w:r>
      <w:r w:rsidR="00753827">
        <w:rPr>
          <w:rFonts w:ascii="Times New Roman" w:eastAsia="Calibri" w:hAnsi="Times New Roman"/>
          <w:sz w:val="24"/>
          <w:szCs w:val="24"/>
        </w:rPr>
        <w:t xml:space="preserve"> zákona č. 213/2016 Sb., </w:t>
      </w:r>
      <w:r w:rsidR="00460AEE">
        <w:rPr>
          <w:rFonts w:ascii="Times New Roman" w:eastAsia="Calibri" w:hAnsi="Times New Roman"/>
          <w:sz w:val="24"/>
          <w:szCs w:val="24"/>
        </w:rPr>
        <w:t xml:space="preserve">zákona č. 24/2017 Sb., zákona č. 99/2017 Sb., zákona č. 148/2017 Sb., zákona č. 150/2017 Sb., zákona č. 203/2017 Sb., zákona č. 259/2017 Sb. a zákona č. 310/2017 Sb., </w:t>
      </w:r>
      <w:r>
        <w:rPr>
          <w:rFonts w:ascii="Times New Roman" w:eastAsia="Calibri" w:hAnsi="Times New Roman"/>
          <w:sz w:val="24"/>
          <w:szCs w:val="24"/>
        </w:rPr>
        <w:t>se mění takto:</w:t>
      </w:r>
    </w:p>
    <w:p w:rsidR="007A5CE5" w:rsidRDefault="007A5CE5" w:rsidP="007A5CE5">
      <w:pPr>
        <w:pStyle w:val="Bezmezer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70E9B" w:rsidRDefault="00C774C4" w:rsidP="00460AEE">
      <w:pPr>
        <w:pStyle w:val="Bezmezer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1. </w:t>
      </w:r>
      <w:r w:rsidR="00013B5E">
        <w:rPr>
          <w:rFonts w:ascii="Times New Roman" w:eastAsia="Times New Roman" w:hAnsi="Times New Roman"/>
          <w:sz w:val="24"/>
          <w:szCs w:val="24"/>
          <w:lang w:eastAsia="cs-CZ"/>
        </w:rPr>
        <w:t>V § 33 odst. 1, § 41</w:t>
      </w:r>
      <w:r w:rsidR="00AC151D">
        <w:rPr>
          <w:rFonts w:ascii="Times New Roman" w:eastAsia="Times New Roman" w:hAnsi="Times New Roman"/>
          <w:sz w:val="24"/>
          <w:szCs w:val="24"/>
          <w:lang w:eastAsia="cs-CZ"/>
        </w:rPr>
        <w:t xml:space="preserve"> odst.</w:t>
      </w:r>
      <w:r w:rsidR="00511387">
        <w:rPr>
          <w:rFonts w:ascii="Times New Roman" w:eastAsia="Times New Roman" w:hAnsi="Times New Roman"/>
          <w:sz w:val="24"/>
          <w:szCs w:val="24"/>
          <w:lang w:eastAsia="cs-CZ"/>
        </w:rPr>
        <w:t xml:space="preserve"> 1, § 51 odst. 1 a</w:t>
      </w:r>
      <w:r w:rsidR="00013B5E">
        <w:rPr>
          <w:rFonts w:ascii="Times New Roman" w:eastAsia="Times New Roman" w:hAnsi="Times New Roman"/>
          <w:sz w:val="24"/>
          <w:szCs w:val="24"/>
          <w:lang w:eastAsia="cs-CZ"/>
        </w:rPr>
        <w:t xml:space="preserve"> § 53 odst. 1 </w:t>
      </w:r>
      <w:r w:rsidR="00AC151D">
        <w:rPr>
          <w:rFonts w:ascii="Times New Roman" w:eastAsia="Times New Roman" w:hAnsi="Times New Roman"/>
          <w:sz w:val="24"/>
          <w:szCs w:val="24"/>
          <w:lang w:eastAsia="cs-CZ"/>
        </w:rPr>
        <w:t>se číslo „9“ nahrazuje číslem „10“.</w:t>
      </w:r>
    </w:p>
    <w:p w:rsidR="00E71A3E" w:rsidRDefault="00E71A3E" w:rsidP="00460AEE">
      <w:pPr>
        <w:pStyle w:val="Bezmezer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71A3E" w:rsidRDefault="00511387" w:rsidP="00460AEE">
      <w:pPr>
        <w:pStyle w:val="Bezmezer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2. V § 67 odst. 7 se číslo „9“ nahrazuje číslem „10“.</w:t>
      </w:r>
    </w:p>
    <w:p w:rsidR="00511387" w:rsidRDefault="00511387" w:rsidP="00460AEE">
      <w:pPr>
        <w:pStyle w:val="Bezmezer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71A3E" w:rsidRDefault="00E71A3E" w:rsidP="00460AEE">
      <w:pPr>
        <w:pStyle w:val="Bezmezer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C151D" w:rsidRDefault="00AC151D" w:rsidP="00460AEE">
      <w:pPr>
        <w:pStyle w:val="Bezmezer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C151D" w:rsidRDefault="00511387" w:rsidP="00460AEE">
      <w:pPr>
        <w:pStyle w:val="Bezmezer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3</w:t>
      </w:r>
      <w:r w:rsidR="00AC151D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E71A3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C151D">
        <w:rPr>
          <w:rFonts w:ascii="Times New Roman" w:eastAsia="Times New Roman" w:hAnsi="Times New Roman"/>
          <w:sz w:val="24"/>
          <w:szCs w:val="24"/>
          <w:lang w:eastAsia="cs-CZ"/>
        </w:rPr>
        <w:t>§ 67</w:t>
      </w:r>
      <w:r w:rsidR="00E71A3E">
        <w:rPr>
          <w:rFonts w:ascii="Times New Roman" w:eastAsia="Times New Roman" w:hAnsi="Times New Roman"/>
          <w:sz w:val="24"/>
          <w:szCs w:val="24"/>
          <w:lang w:eastAsia="cs-CZ"/>
        </w:rPr>
        <w:t>a zní:</w:t>
      </w:r>
    </w:p>
    <w:p w:rsidR="00E71A3E" w:rsidRDefault="00E71A3E" w:rsidP="00460AEE">
      <w:pPr>
        <w:pStyle w:val="Bezmezer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71A3E" w:rsidRDefault="00E71A3E" w:rsidP="00E71A3E">
      <w:pPr>
        <w:pStyle w:val="Bezmezer"/>
        <w:ind w:left="284" w:hanging="284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„§ 67a</w:t>
      </w:r>
    </w:p>
    <w:p w:rsidR="00E71A3E" w:rsidRDefault="00E71A3E" w:rsidP="00E71A3E">
      <w:pPr>
        <w:pStyle w:val="Bezmezer"/>
        <w:ind w:left="284" w:hanging="284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71A3E" w:rsidRDefault="00E71A3E" w:rsidP="00E71A3E">
      <w:pPr>
        <w:pStyle w:val="Bezmezer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</w:t>
      </w:r>
      <w:r w:rsidR="00990E38"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(1) Procentní výměra vypláceného důchodu se zvyšuje o</w:t>
      </w:r>
    </w:p>
    <w:p w:rsidR="00E71A3E" w:rsidRDefault="00E71A3E" w:rsidP="00E71A3E">
      <w:pPr>
        <w:pStyle w:val="Bezmezer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71A3E" w:rsidRDefault="00E71A3E" w:rsidP="00990E38">
      <w:pPr>
        <w:pStyle w:val="Bezmezer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a)  1 000 </w:t>
      </w:r>
      <w:r w:rsidR="00990E38">
        <w:rPr>
          <w:rFonts w:ascii="Times New Roman" w:eastAsia="Times New Roman" w:hAnsi="Times New Roman"/>
          <w:sz w:val="24"/>
          <w:szCs w:val="24"/>
          <w:lang w:eastAsia="cs-CZ"/>
        </w:rPr>
        <w:t xml:space="preserve">Kč měsíčně od splátky důchodu splatné v kalendářním měsíci, v němž poživatel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důchodu dosáhl věku 85 let,</w:t>
      </w:r>
    </w:p>
    <w:p w:rsidR="00E71A3E" w:rsidRDefault="00E71A3E" w:rsidP="00E71A3E">
      <w:pPr>
        <w:pStyle w:val="Bezmezer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71A3E" w:rsidRDefault="00990E38" w:rsidP="00E71A3E">
      <w:pPr>
        <w:pStyle w:val="Bezmezer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="00E71A3E">
        <w:rPr>
          <w:rFonts w:ascii="Times New Roman" w:eastAsia="Times New Roman" w:hAnsi="Times New Roman"/>
          <w:sz w:val="24"/>
          <w:szCs w:val="24"/>
          <w:lang w:eastAsia="cs-CZ"/>
        </w:rPr>
        <w:t>b</w:t>
      </w:r>
      <w:r w:rsidR="00542BA4">
        <w:rPr>
          <w:rFonts w:ascii="Times New Roman" w:eastAsia="Times New Roman" w:hAnsi="Times New Roman"/>
          <w:sz w:val="24"/>
          <w:szCs w:val="24"/>
          <w:lang w:eastAsia="cs-CZ"/>
        </w:rPr>
        <w:t>)  2 000 Kč měsíčně ode dne, v němž</w:t>
      </w:r>
      <w:r w:rsidR="00E71A3E">
        <w:rPr>
          <w:rFonts w:ascii="Times New Roman" w:eastAsia="Times New Roman" w:hAnsi="Times New Roman"/>
          <w:sz w:val="24"/>
          <w:szCs w:val="24"/>
          <w:lang w:eastAsia="cs-CZ"/>
        </w:rPr>
        <w:t xml:space="preserve"> poživatel důchodu dosáhl věku 100 let.</w:t>
      </w:r>
    </w:p>
    <w:p w:rsidR="00990E38" w:rsidRDefault="00990E38" w:rsidP="00E71A3E">
      <w:pPr>
        <w:pStyle w:val="Bezmezer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E38" w:rsidRDefault="00990E38" w:rsidP="00990E38">
      <w:pPr>
        <w:pStyle w:val="Bezmezer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(2) Jsou-li splněny podmínky nároku na výplatu více důchodů, zvyšuje se podle odstavce 1 procentní výměra starobního důchodu. Dosáhl-li poživatel důchodu věku 85 let v kalendářním měsíci, v němž se zvyšují důchody podle § 67, náleží zvýšení podle odstavce</w:t>
      </w:r>
      <w:r w:rsidR="00542BA4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 písm. a) k procentní výměře zvýšené podle § 67.“.</w:t>
      </w:r>
    </w:p>
    <w:p w:rsidR="00460AEE" w:rsidRDefault="00460AEE" w:rsidP="0093290E">
      <w:pPr>
        <w:pStyle w:val="Bezmez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C151D" w:rsidRDefault="00AC151D" w:rsidP="005A0767">
      <w:pPr>
        <w:pStyle w:val="Bezmezer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60AEE" w:rsidRDefault="00460AEE" w:rsidP="005A0767">
      <w:pPr>
        <w:pStyle w:val="Bezmezer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460AEE">
        <w:rPr>
          <w:rFonts w:ascii="Times New Roman" w:eastAsia="Times New Roman" w:hAnsi="Times New Roman"/>
          <w:sz w:val="24"/>
          <w:szCs w:val="24"/>
          <w:lang w:eastAsia="cs-CZ"/>
        </w:rPr>
        <w:t>Čl. II</w:t>
      </w:r>
    </w:p>
    <w:p w:rsidR="00460AEE" w:rsidRPr="00460AEE" w:rsidRDefault="00460AEE" w:rsidP="005A0767">
      <w:pPr>
        <w:pStyle w:val="Bezmezer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37ACA" w:rsidRDefault="00AC151D" w:rsidP="005A0767">
      <w:pPr>
        <w:pStyle w:val="Bezmezer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Přechodná</w:t>
      </w:r>
      <w:r w:rsidR="00337AC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ustanovení</w:t>
      </w:r>
    </w:p>
    <w:p w:rsidR="00B852A7" w:rsidRDefault="00B852A7" w:rsidP="005A0767">
      <w:pPr>
        <w:pStyle w:val="Bezmezer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B4451E" w:rsidRDefault="00AC151D" w:rsidP="00E71A3E">
      <w:pPr>
        <w:pStyle w:val="Bezmezer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1. P</w:t>
      </w:r>
      <w:r w:rsidR="00E36669">
        <w:rPr>
          <w:rFonts w:ascii="Times New Roman" w:eastAsia="Times New Roman" w:hAnsi="Times New Roman"/>
          <w:sz w:val="24"/>
          <w:szCs w:val="24"/>
          <w:lang w:eastAsia="cs-CZ"/>
        </w:rPr>
        <w:t>ři stanovení výše zvýšení vyplácených důchodů v lednu 2019 se p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ro účely zvýšení </w:t>
      </w:r>
      <w:r w:rsidR="00E36669">
        <w:rPr>
          <w:rFonts w:ascii="Times New Roman" w:eastAsia="Times New Roman" w:hAnsi="Times New Roman"/>
          <w:sz w:val="24"/>
          <w:szCs w:val="24"/>
          <w:lang w:eastAsia="cs-CZ"/>
        </w:rPr>
        <w:t xml:space="preserve">procentní výměry vyplácených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důchodů </w:t>
      </w:r>
      <w:r w:rsidR="00E36669">
        <w:rPr>
          <w:rFonts w:ascii="Times New Roman" w:eastAsia="Times New Roman" w:hAnsi="Times New Roman"/>
          <w:sz w:val="24"/>
          <w:szCs w:val="24"/>
          <w:lang w:eastAsia="cs-CZ"/>
        </w:rPr>
        <w:t>podle § 67 odst. 8 zákona č. 155/1995 Sb., ve</w:t>
      </w:r>
      <w:r w:rsidR="009544C3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E36669">
        <w:rPr>
          <w:rFonts w:ascii="Times New Roman" w:eastAsia="Times New Roman" w:hAnsi="Times New Roman"/>
          <w:sz w:val="24"/>
          <w:szCs w:val="24"/>
          <w:lang w:eastAsia="cs-CZ"/>
        </w:rPr>
        <w:t xml:space="preserve">znění účinném ode dne nabytí účinnosti tohoto zákona, vychází ze </w:t>
      </w:r>
      <w:r w:rsidR="00511387">
        <w:rPr>
          <w:rFonts w:ascii="Times New Roman" w:eastAsia="Times New Roman" w:hAnsi="Times New Roman"/>
          <w:sz w:val="24"/>
          <w:szCs w:val="24"/>
          <w:lang w:eastAsia="cs-CZ"/>
        </w:rPr>
        <w:t xml:space="preserve">zvýšení </w:t>
      </w:r>
      <w:r w:rsidR="00E36669">
        <w:rPr>
          <w:rFonts w:ascii="Times New Roman" w:eastAsia="Times New Roman" w:hAnsi="Times New Roman"/>
          <w:sz w:val="24"/>
          <w:szCs w:val="24"/>
          <w:lang w:eastAsia="cs-CZ"/>
        </w:rPr>
        <w:t>základní výměry důchodu stanovené</w:t>
      </w:r>
      <w:r w:rsidR="00511387">
        <w:rPr>
          <w:rFonts w:ascii="Times New Roman" w:eastAsia="Times New Roman" w:hAnsi="Times New Roman"/>
          <w:sz w:val="24"/>
          <w:szCs w:val="24"/>
          <w:lang w:eastAsia="cs-CZ"/>
        </w:rPr>
        <w:t>ho</w:t>
      </w:r>
      <w:r w:rsidR="00E36669">
        <w:rPr>
          <w:rFonts w:ascii="Times New Roman" w:eastAsia="Times New Roman" w:hAnsi="Times New Roman"/>
          <w:sz w:val="24"/>
          <w:szCs w:val="24"/>
          <w:lang w:eastAsia="cs-CZ"/>
        </w:rPr>
        <w:t xml:space="preserve"> podle § 67 odst. 7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zákona č.</w:t>
      </w:r>
      <w:r w:rsidR="00350E3E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155/1995 Sb., ve znění účinném </w:t>
      </w:r>
      <w:r w:rsidR="00E36669">
        <w:rPr>
          <w:rFonts w:ascii="Times New Roman" w:eastAsia="Times New Roman" w:hAnsi="Times New Roman"/>
          <w:sz w:val="24"/>
          <w:szCs w:val="24"/>
          <w:lang w:eastAsia="cs-CZ"/>
        </w:rPr>
        <w:t>od</w:t>
      </w:r>
      <w:r w:rsidR="00511387">
        <w:rPr>
          <w:rFonts w:ascii="Times New Roman" w:eastAsia="Times New Roman" w:hAnsi="Times New Roman"/>
          <w:sz w:val="24"/>
          <w:szCs w:val="24"/>
          <w:lang w:eastAsia="cs-CZ"/>
        </w:rPr>
        <w:t xml:space="preserve">e </w:t>
      </w:r>
      <w:r w:rsidR="004A6AA0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r w:rsidR="00511387">
        <w:rPr>
          <w:rFonts w:ascii="Times New Roman" w:eastAsia="Times New Roman" w:hAnsi="Times New Roman"/>
          <w:sz w:val="24"/>
          <w:szCs w:val="24"/>
          <w:lang w:eastAsia="cs-CZ"/>
        </w:rPr>
        <w:t>nabytí účinnosti tohoto zákona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E36669">
        <w:rPr>
          <w:rFonts w:ascii="Times New Roman" w:eastAsia="Times New Roman" w:hAnsi="Times New Roman"/>
          <w:sz w:val="24"/>
          <w:szCs w:val="24"/>
          <w:lang w:eastAsia="cs-CZ"/>
        </w:rPr>
        <w:t>snížené</w:t>
      </w:r>
      <w:r w:rsidR="00511387">
        <w:rPr>
          <w:rFonts w:ascii="Times New Roman" w:eastAsia="Times New Roman" w:hAnsi="Times New Roman"/>
          <w:sz w:val="24"/>
          <w:szCs w:val="24"/>
          <w:lang w:eastAsia="cs-CZ"/>
        </w:rPr>
        <w:t>ho</w:t>
      </w:r>
      <w:r w:rsidR="00E3666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4451E">
        <w:rPr>
          <w:rFonts w:ascii="Times New Roman" w:eastAsia="Times New Roman" w:hAnsi="Times New Roman"/>
          <w:sz w:val="24"/>
          <w:szCs w:val="24"/>
          <w:lang w:eastAsia="cs-CZ"/>
        </w:rPr>
        <w:t>o 300 Kč</w:t>
      </w:r>
      <w:r w:rsidR="00511387">
        <w:rPr>
          <w:rFonts w:ascii="Times New Roman" w:eastAsia="Times New Roman" w:hAnsi="Times New Roman"/>
          <w:sz w:val="24"/>
          <w:szCs w:val="24"/>
          <w:lang w:eastAsia="cs-CZ"/>
        </w:rPr>
        <w:t xml:space="preserve"> a z průměrného starobního důchodu zjištěného podle § 67 odst. 12 zákona č. 155/1995 Sb., ve znění účinném ode dne nabytí účinnosti tohoto zákona, zvýšeného o 300 Kč.</w:t>
      </w:r>
      <w:r w:rsidR="00B4451E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</w:p>
    <w:p w:rsidR="00E71A3E" w:rsidRDefault="00E71A3E" w:rsidP="00E71A3E">
      <w:pPr>
        <w:pStyle w:val="Bezmezer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71A3E" w:rsidRPr="00AC151D" w:rsidRDefault="00E71A3E" w:rsidP="00E71A3E">
      <w:pPr>
        <w:pStyle w:val="Bezmezer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2.</w:t>
      </w:r>
      <w:r w:rsidR="0093290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544C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3290E">
        <w:rPr>
          <w:rFonts w:ascii="Times New Roman" w:eastAsia="Times New Roman" w:hAnsi="Times New Roman"/>
          <w:sz w:val="24"/>
          <w:szCs w:val="24"/>
          <w:lang w:eastAsia="cs-CZ"/>
        </w:rPr>
        <w:t>Dosáhl-li pož</w:t>
      </w:r>
      <w:r w:rsidR="00542BA4">
        <w:rPr>
          <w:rFonts w:ascii="Times New Roman" w:eastAsia="Times New Roman" w:hAnsi="Times New Roman"/>
          <w:sz w:val="24"/>
          <w:szCs w:val="24"/>
          <w:lang w:eastAsia="cs-CZ"/>
        </w:rPr>
        <w:t>ivatel důchodu věku 85 let před 1. lednem 2019,</w:t>
      </w:r>
      <w:r w:rsidR="0093290E">
        <w:rPr>
          <w:rFonts w:ascii="Times New Roman" w:eastAsia="Times New Roman" w:hAnsi="Times New Roman"/>
          <w:sz w:val="24"/>
          <w:szCs w:val="24"/>
          <w:lang w:eastAsia="cs-CZ"/>
        </w:rPr>
        <w:t xml:space="preserve"> zvyšuje se procentní výměra vypláceného důchodu o 1 000 Kč </w:t>
      </w:r>
      <w:r w:rsidR="008C2C5A">
        <w:rPr>
          <w:rFonts w:ascii="Times New Roman" w:eastAsia="Times New Roman" w:hAnsi="Times New Roman"/>
          <w:sz w:val="24"/>
          <w:szCs w:val="24"/>
          <w:lang w:eastAsia="cs-CZ"/>
        </w:rPr>
        <w:t>podle § 67a zákona č. 155/1995 Sb., ve znění účinném ode dne</w:t>
      </w:r>
      <w:r w:rsidR="00823F0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 w:rsidR="00823F01">
        <w:rPr>
          <w:rFonts w:ascii="Times New Roman" w:eastAsia="Times New Roman" w:hAnsi="Times New Roman"/>
          <w:sz w:val="24"/>
          <w:szCs w:val="24"/>
          <w:lang w:eastAsia="cs-CZ"/>
        </w:rPr>
        <w:t>1. ledna 2019</w:t>
      </w:r>
      <w:r w:rsidR="008C2C5A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93290E">
        <w:rPr>
          <w:rFonts w:ascii="Times New Roman" w:eastAsia="Times New Roman" w:hAnsi="Times New Roman"/>
          <w:sz w:val="24"/>
          <w:szCs w:val="24"/>
          <w:lang w:eastAsia="cs-CZ"/>
        </w:rPr>
        <w:t xml:space="preserve">od splátky důchodu splatné </w:t>
      </w:r>
      <w:r w:rsidR="00542BA4">
        <w:rPr>
          <w:rFonts w:ascii="Times New Roman" w:eastAsia="Times New Roman" w:hAnsi="Times New Roman"/>
          <w:sz w:val="24"/>
          <w:szCs w:val="24"/>
          <w:lang w:eastAsia="cs-CZ"/>
        </w:rPr>
        <w:t>po 31. prosinci 2018</w:t>
      </w:r>
      <w:r w:rsidR="00367A1E">
        <w:rPr>
          <w:rFonts w:ascii="Times New Roman" w:eastAsia="Times New Roman" w:hAnsi="Times New Roman"/>
          <w:sz w:val="24"/>
          <w:szCs w:val="24"/>
          <w:lang w:eastAsia="cs-CZ"/>
        </w:rPr>
        <w:t>; toto zvýšení náleží k procentní výměře zv</w:t>
      </w:r>
      <w:r w:rsidR="00E36669">
        <w:rPr>
          <w:rFonts w:ascii="Times New Roman" w:eastAsia="Times New Roman" w:hAnsi="Times New Roman"/>
          <w:sz w:val="24"/>
          <w:szCs w:val="24"/>
          <w:lang w:eastAsia="cs-CZ"/>
        </w:rPr>
        <w:t>ýšené podle § 67 zákona č. 155/</w:t>
      </w:r>
      <w:r w:rsidR="00367A1E">
        <w:rPr>
          <w:rFonts w:ascii="Times New Roman" w:eastAsia="Times New Roman" w:hAnsi="Times New Roman"/>
          <w:sz w:val="24"/>
          <w:szCs w:val="24"/>
          <w:lang w:eastAsia="cs-CZ"/>
        </w:rPr>
        <w:t>1995 Sb., ve</w:t>
      </w:r>
      <w:r w:rsidR="009544C3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367A1E">
        <w:rPr>
          <w:rFonts w:ascii="Times New Roman" w:eastAsia="Times New Roman" w:hAnsi="Times New Roman"/>
          <w:sz w:val="24"/>
          <w:szCs w:val="24"/>
          <w:lang w:eastAsia="cs-CZ"/>
        </w:rPr>
        <w:t>znění účinném ode dne nabytí účinnosti tohoto zákona.</w:t>
      </w:r>
      <w:r w:rsidR="00542BA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67A1E">
        <w:rPr>
          <w:rFonts w:ascii="Times New Roman" w:eastAsia="Times New Roman" w:hAnsi="Times New Roman"/>
          <w:sz w:val="24"/>
          <w:szCs w:val="24"/>
          <w:lang w:eastAsia="cs-CZ"/>
        </w:rPr>
        <w:t xml:space="preserve">O tomto zvýšení se nevydává písemné rozhodnutí; poživatel důchodu obdrží o tomto zvýšení písemné oznámení s tím, že ustanovení § 86 odst. 2 věty druhé zákona o organizaci a provádění sociálního zabezpečení </w:t>
      </w:r>
      <w:r w:rsidR="009544C3">
        <w:rPr>
          <w:rFonts w:ascii="Times New Roman" w:eastAsia="Times New Roman" w:hAnsi="Times New Roman"/>
          <w:sz w:val="24"/>
          <w:szCs w:val="24"/>
          <w:lang w:eastAsia="cs-CZ"/>
        </w:rPr>
        <w:t>se použije</w:t>
      </w:r>
      <w:r w:rsidR="00367A1E">
        <w:rPr>
          <w:rFonts w:ascii="Times New Roman" w:eastAsia="Times New Roman" w:hAnsi="Times New Roman"/>
          <w:sz w:val="24"/>
          <w:szCs w:val="24"/>
          <w:lang w:eastAsia="cs-CZ"/>
        </w:rPr>
        <w:t xml:space="preserve"> obdobně.</w:t>
      </w:r>
    </w:p>
    <w:p w:rsidR="00337ACA" w:rsidRDefault="00337ACA" w:rsidP="005A0767">
      <w:pPr>
        <w:pStyle w:val="Bezmezer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5308D8" w:rsidRPr="002008A1" w:rsidRDefault="005308D8" w:rsidP="00504E08">
      <w:pPr>
        <w:pStyle w:val="Bezmezer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635E01" w:rsidRDefault="00635E01" w:rsidP="009544C3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308D8" w:rsidRDefault="009C0726" w:rsidP="00504E08">
      <w:pPr>
        <w:pStyle w:val="Bezmezer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Čl. </w:t>
      </w:r>
      <w:r w:rsidR="00460AEE">
        <w:rPr>
          <w:rFonts w:ascii="Times New Roman" w:eastAsia="Times New Roman" w:hAnsi="Times New Roman"/>
          <w:sz w:val="24"/>
          <w:szCs w:val="24"/>
          <w:lang w:eastAsia="cs-CZ"/>
        </w:rPr>
        <w:t>III</w:t>
      </w:r>
    </w:p>
    <w:p w:rsidR="0093290E" w:rsidRPr="002008A1" w:rsidRDefault="0093290E" w:rsidP="00504E08">
      <w:pPr>
        <w:pStyle w:val="Bezmezer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60AEE" w:rsidRPr="002008A1" w:rsidRDefault="006601EF" w:rsidP="00460AEE">
      <w:pPr>
        <w:pStyle w:val="Bezmezer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Účinnost</w:t>
      </w:r>
    </w:p>
    <w:p w:rsidR="005308D8" w:rsidRPr="002008A1" w:rsidRDefault="005308D8" w:rsidP="002008A1">
      <w:pPr>
        <w:pStyle w:val="Bezmezer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F3AD8" w:rsidRDefault="007301CB" w:rsidP="00F31650">
      <w:pPr>
        <w:pStyle w:val="Bezmezer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</w:t>
      </w:r>
      <w:r w:rsidR="004179B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3290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5308D8" w:rsidRPr="002008A1">
        <w:rPr>
          <w:rFonts w:ascii="Times New Roman" w:eastAsia="Times New Roman" w:hAnsi="Times New Roman"/>
          <w:sz w:val="24"/>
          <w:szCs w:val="24"/>
          <w:lang w:eastAsia="cs-CZ"/>
        </w:rPr>
        <w:t>Tento zákon nabývá účinnosti</w:t>
      </w:r>
      <w:r w:rsidR="005F08B8">
        <w:rPr>
          <w:rFonts w:ascii="Times New Roman" w:eastAsia="Times New Roman" w:hAnsi="Times New Roman"/>
          <w:sz w:val="24"/>
          <w:szCs w:val="24"/>
          <w:lang w:eastAsia="cs-CZ"/>
        </w:rPr>
        <w:t xml:space="preserve"> dnem </w:t>
      </w:r>
      <w:r w:rsidR="00542BA4">
        <w:rPr>
          <w:rFonts w:ascii="Times New Roman" w:eastAsia="Times New Roman" w:hAnsi="Times New Roman"/>
          <w:sz w:val="24"/>
          <w:szCs w:val="24"/>
          <w:lang w:eastAsia="cs-CZ"/>
        </w:rPr>
        <w:t>1. září</w:t>
      </w:r>
      <w:r w:rsidR="00460AEE">
        <w:rPr>
          <w:rFonts w:ascii="Times New Roman" w:eastAsia="Times New Roman" w:hAnsi="Times New Roman"/>
          <w:sz w:val="24"/>
          <w:szCs w:val="24"/>
          <w:lang w:eastAsia="cs-CZ"/>
        </w:rPr>
        <w:t xml:space="preserve"> 2018</w:t>
      </w:r>
      <w:r w:rsidR="00627719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511387">
        <w:rPr>
          <w:rFonts w:ascii="Times New Roman" w:eastAsia="Times New Roman" w:hAnsi="Times New Roman"/>
          <w:sz w:val="24"/>
          <w:szCs w:val="24"/>
          <w:lang w:eastAsia="cs-CZ"/>
        </w:rPr>
        <w:t>s výjimkou ustanovení čl. I bodů</w:t>
      </w:r>
      <w:r w:rsidR="00627719">
        <w:rPr>
          <w:rFonts w:ascii="Times New Roman" w:eastAsia="Times New Roman" w:hAnsi="Times New Roman"/>
          <w:sz w:val="24"/>
          <w:szCs w:val="24"/>
          <w:lang w:eastAsia="cs-CZ"/>
        </w:rPr>
        <w:t xml:space="preserve"> 1</w:t>
      </w:r>
      <w:r w:rsidR="00511387">
        <w:rPr>
          <w:rFonts w:ascii="Times New Roman" w:eastAsia="Times New Roman" w:hAnsi="Times New Roman"/>
          <w:sz w:val="24"/>
          <w:szCs w:val="24"/>
          <w:lang w:eastAsia="cs-CZ"/>
        </w:rPr>
        <w:t xml:space="preserve"> a 3</w:t>
      </w:r>
      <w:r w:rsidR="004A372A">
        <w:rPr>
          <w:rFonts w:ascii="Times New Roman" w:eastAsia="Times New Roman" w:hAnsi="Times New Roman"/>
          <w:sz w:val="24"/>
          <w:szCs w:val="24"/>
          <w:lang w:eastAsia="cs-CZ"/>
        </w:rPr>
        <w:t xml:space="preserve"> a čl. II bodu 2</w:t>
      </w:r>
      <w:r w:rsidR="00511387">
        <w:rPr>
          <w:rFonts w:ascii="Times New Roman" w:eastAsia="Times New Roman" w:hAnsi="Times New Roman"/>
          <w:sz w:val="24"/>
          <w:szCs w:val="24"/>
          <w:lang w:eastAsia="cs-CZ"/>
        </w:rPr>
        <w:t>, která nabývají</w:t>
      </w:r>
      <w:r w:rsidR="00627719">
        <w:rPr>
          <w:rFonts w:ascii="Times New Roman" w:eastAsia="Times New Roman" w:hAnsi="Times New Roman"/>
          <w:sz w:val="24"/>
          <w:szCs w:val="24"/>
          <w:lang w:eastAsia="cs-CZ"/>
        </w:rPr>
        <w:t xml:space="preserve"> účinnosti dnem 1. ledna 2019</w:t>
      </w:r>
      <w:r w:rsidR="00460AEE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F3165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AF3AD8" w:rsidRDefault="00AF3AD8" w:rsidP="00AF3AD8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sectPr w:rsidR="00AF3AD8" w:rsidSect="002C3267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664" w:rsidRDefault="00A11664" w:rsidP="002C3267">
      <w:pPr>
        <w:spacing w:after="0" w:line="240" w:lineRule="auto"/>
      </w:pPr>
      <w:r>
        <w:separator/>
      </w:r>
    </w:p>
  </w:endnote>
  <w:endnote w:type="continuationSeparator" w:id="0">
    <w:p w:rsidR="00A11664" w:rsidRDefault="00A11664" w:rsidP="002C3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177290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F1775" w:rsidRPr="0083143E" w:rsidRDefault="00C501CD">
        <w:pPr>
          <w:pStyle w:val="Zpat"/>
          <w:jc w:val="center"/>
          <w:rPr>
            <w:rFonts w:ascii="Times New Roman" w:hAnsi="Times New Roman"/>
          </w:rPr>
        </w:pPr>
        <w:r w:rsidRPr="0083143E">
          <w:rPr>
            <w:rFonts w:ascii="Times New Roman" w:hAnsi="Times New Roman"/>
          </w:rPr>
          <w:fldChar w:fldCharType="begin"/>
        </w:r>
        <w:r w:rsidR="00CF1775" w:rsidRPr="0083143E">
          <w:rPr>
            <w:rFonts w:ascii="Times New Roman" w:hAnsi="Times New Roman"/>
          </w:rPr>
          <w:instrText>PAGE   \* MERGEFORMAT</w:instrText>
        </w:r>
        <w:r w:rsidRPr="0083143E">
          <w:rPr>
            <w:rFonts w:ascii="Times New Roman" w:hAnsi="Times New Roman"/>
          </w:rPr>
          <w:fldChar w:fldCharType="separate"/>
        </w:r>
        <w:r w:rsidR="00CD604C">
          <w:rPr>
            <w:rFonts w:ascii="Times New Roman" w:hAnsi="Times New Roman"/>
            <w:noProof/>
          </w:rPr>
          <w:t>2</w:t>
        </w:r>
        <w:r w:rsidRPr="0083143E">
          <w:rPr>
            <w:rFonts w:ascii="Times New Roman" w:hAnsi="Times New Roman"/>
          </w:rPr>
          <w:fldChar w:fldCharType="end"/>
        </w:r>
      </w:p>
    </w:sdtContent>
  </w:sdt>
  <w:p w:rsidR="00CF1775" w:rsidRDefault="00CF177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664" w:rsidRDefault="00A11664" w:rsidP="002C3267">
      <w:pPr>
        <w:spacing w:after="0" w:line="240" w:lineRule="auto"/>
      </w:pPr>
      <w:r>
        <w:separator/>
      </w:r>
    </w:p>
  </w:footnote>
  <w:footnote w:type="continuationSeparator" w:id="0">
    <w:p w:rsidR="00A11664" w:rsidRDefault="00A11664" w:rsidP="002C3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3E7C"/>
    <w:multiLevelType w:val="hybridMultilevel"/>
    <w:tmpl w:val="71B490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9745B"/>
    <w:multiLevelType w:val="hybridMultilevel"/>
    <w:tmpl w:val="41B2B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D6074"/>
    <w:multiLevelType w:val="hybridMultilevel"/>
    <w:tmpl w:val="6DE2F40A"/>
    <w:lvl w:ilvl="0" w:tplc="1E22734A">
      <w:start w:val="1"/>
      <w:numFmt w:val="upperLetter"/>
      <w:lvlText w:val="%1."/>
      <w:lvlJc w:val="left"/>
      <w:pPr>
        <w:ind w:left="1353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32CF2"/>
    <w:multiLevelType w:val="hybridMultilevel"/>
    <w:tmpl w:val="1324B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B12B2"/>
    <w:multiLevelType w:val="hybridMultilevel"/>
    <w:tmpl w:val="F0F8FD5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8D8"/>
    <w:rsid w:val="000031CF"/>
    <w:rsid w:val="00007554"/>
    <w:rsid w:val="00011819"/>
    <w:rsid w:val="00013B5E"/>
    <w:rsid w:val="00021B1C"/>
    <w:rsid w:val="00023BF4"/>
    <w:rsid w:val="000267B3"/>
    <w:rsid w:val="000300DF"/>
    <w:rsid w:val="00043B03"/>
    <w:rsid w:val="000462B0"/>
    <w:rsid w:val="00047C16"/>
    <w:rsid w:val="00052C59"/>
    <w:rsid w:val="00060FA5"/>
    <w:rsid w:val="000665A1"/>
    <w:rsid w:val="00067283"/>
    <w:rsid w:val="0007346A"/>
    <w:rsid w:val="00074B0C"/>
    <w:rsid w:val="00090ED5"/>
    <w:rsid w:val="00096F16"/>
    <w:rsid w:val="000970E5"/>
    <w:rsid w:val="000A6A81"/>
    <w:rsid w:val="000B1BBF"/>
    <w:rsid w:val="000C10E3"/>
    <w:rsid w:val="000D270D"/>
    <w:rsid w:val="000D2E5F"/>
    <w:rsid w:val="000D7E22"/>
    <w:rsid w:val="000E11D6"/>
    <w:rsid w:val="000F0C17"/>
    <w:rsid w:val="000F519B"/>
    <w:rsid w:val="000F56CE"/>
    <w:rsid w:val="000F654D"/>
    <w:rsid w:val="00102366"/>
    <w:rsid w:val="0010460C"/>
    <w:rsid w:val="001067C2"/>
    <w:rsid w:val="00120EBE"/>
    <w:rsid w:val="00121A49"/>
    <w:rsid w:val="00132BF0"/>
    <w:rsid w:val="00135354"/>
    <w:rsid w:val="001415BB"/>
    <w:rsid w:val="0015633C"/>
    <w:rsid w:val="00156B1C"/>
    <w:rsid w:val="00156B1E"/>
    <w:rsid w:val="00160267"/>
    <w:rsid w:val="00163410"/>
    <w:rsid w:val="00163C56"/>
    <w:rsid w:val="001649A1"/>
    <w:rsid w:val="00164FFE"/>
    <w:rsid w:val="00170E93"/>
    <w:rsid w:val="001760CF"/>
    <w:rsid w:val="00181A72"/>
    <w:rsid w:val="0018625F"/>
    <w:rsid w:val="00190CEF"/>
    <w:rsid w:val="0019214A"/>
    <w:rsid w:val="00194285"/>
    <w:rsid w:val="00195DA5"/>
    <w:rsid w:val="001971AD"/>
    <w:rsid w:val="001A4A39"/>
    <w:rsid w:val="001A6AA6"/>
    <w:rsid w:val="001B3A05"/>
    <w:rsid w:val="001D0050"/>
    <w:rsid w:val="001D03F1"/>
    <w:rsid w:val="001D4347"/>
    <w:rsid w:val="001D530C"/>
    <w:rsid w:val="001D5B6B"/>
    <w:rsid w:val="001E142E"/>
    <w:rsid w:val="001E3615"/>
    <w:rsid w:val="001E4947"/>
    <w:rsid w:val="001E5F7E"/>
    <w:rsid w:val="001F2EED"/>
    <w:rsid w:val="002008A1"/>
    <w:rsid w:val="00200ADA"/>
    <w:rsid w:val="002173C8"/>
    <w:rsid w:val="002246F1"/>
    <w:rsid w:val="0023084B"/>
    <w:rsid w:val="00232935"/>
    <w:rsid w:val="00237C72"/>
    <w:rsid w:val="00246FFF"/>
    <w:rsid w:val="0024733F"/>
    <w:rsid w:val="00253555"/>
    <w:rsid w:val="00256433"/>
    <w:rsid w:val="002675FD"/>
    <w:rsid w:val="002726DF"/>
    <w:rsid w:val="00276012"/>
    <w:rsid w:val="00276D9C"/>
    <w:rsid w:val="00293F3B"/>
    <w:rsid w:val="002975F9"/>
    <w:rsid w:val="002A2C6D"/>
    <w:rsid w:val="002A6165"/>
    <w:rsid w:val="002A7039"/>
    <w:rsid w:val="002B4F12"/>
    <w:rsid w:val="002C152A"/>
    <w:rsid w:val="002C3267"/>
    <w:rsid w:val="002C391F"/>
    <w:rsid w:val="002C75DF"/>
    <w:rsid w:val="002D3955"/>
    <w:rsid w:val="002D78B4"/>
    <w:rsid w:val="002E498F"/>
    <w:rsid w:val="002E4DA3"/>
    <w:rsid w:val="002E7320"/>
    <w:rsid w:val="002F0E73"/>
    <w:rsid w:val="002F69B7"/>
    <w:rsid w:val="002F6DBB"/>
    <w:rsid w:val="00304938"/>
    <w:rsid w:val="00316BD7"/>
    <w:rsid w:val="00323204"/>
    <w:rsid w:val="00323B0B"/>
    <w:rsid w:val="003362EC"/>
    <w:rsid w:val="00337ACA"/>
    <w:rsid w:val="003429B1"/>
    <w:rsid w:val="00343F6E"/>
    <w:rsid w:val="00345C12"/>
    <w:rsid w:val="00350E3E"/>
    <w:rsid w:val="00352E38"/>
    <w:rsid w:val="00353BD5"/>
    <w:rsid w:val="00356665"/>
    <w:rsid w:val="003658CA"/>
    <w:rsid w:val="00367A1E"/>
    <w:rsid w:val="0037587D"/>
    <w:rsid w:val="0037757A"/>
    <w:rsid w:val="0038336C"/>
    <w:rsid w:val="00384D43"/>
    <w:rsid w:val="0038619F"/>
    <w:rsid w:val="00386780"/>
    <w:rsid w:val="00387F1C"/>
    <w:rsid w:val="003912B4"/>
    <w:rsid w:val="00393ACC"/>
    <w:rsid w:val="003A1BE4"/>
    <w:rsid w:val="003B3D6E"/>
    <w:rsid w:val="003B62C9"/>
    <w:rsid w:val="003B7FC3"/>
    <w:rsid w:val="003C0488"/>
    <w:rsid w:val="003C5856"/>
    <w:rsid w:val="003C6016"/>
    <w:rsid w:val="003D3356"/>
    <w:rsid w:val="003D34DE"/>
    <w:rsid w:val="003E12FE"/>
    <w:rsid w:val="003E4815"/>
    <w:rsid w:val="003E587B"/>
    <w:rsid w:val="003F0798"/>
    <w:rsid w:val="00404CA8"/>
    <w:rsid w:val="0041461F"/>
    <w:rsid w:val="004153F8"/>
    <w:rsid w:val="0041573F"/>
    <w:rsid w:val="004179B8"/>
    <w:rsid w:val="00420C81"/>
    <w:rsid w:val="004320FF"/>
    <w:rsid w:val="00433EFF"/>
    <w:rsid w:val="004440BD"/>
    <w:rsid w:val="00445380"/>
    <w:rsid w:val="00445F56"/>
    <w:rsid w:val="00446BEE"/>
    <w:rsid w:val="0045146C"/>
    <w:rsid w:val="00457670"/>
    <w:rsid w:val="00460AEE"/>
    <w:rsid w:val="00463AD8"/>
    <w:rsid w:val="004713EC"/>
    <w:rsid w:val="004739BF"/>
    <w:rsid w:val="00473C63"/>
    <w:rsid w:val="004743E0"/>
    <w:rsid w:val="00480882"/>
    <w:rsid w:val="004931D0"/>
    <w:rsid w:val="004A372A"/>
    <w:rsid w:val="004A6AA0"/>
    <w:rsid w:val="004B3A10"/>
    <w:rsid w:val="004B5268"/>
    <w:rsid w:val="004C79ED"/>
    <w:rsid w:val="004D255D"/>
    <w:rsid w:val="004F26ED"/>
    <w:rsid w:val="004F4A3E"/>
    <w:rsid w:val="004F51D1"/>
    <w:rsid w:val="004F7668"/>
    <w:rsid w:val="0050294B"/>
    <w:rsid w:val="00504E08"/>
    <w:rsid w:val="00511387"/>
    <w:rsid w:val="00520FF1"/>
    <w:rsid w:val="005308D8"/>
    <w:rsid w:val="00537CF6"/>
    <w:rsid w:val="0054174E"/>
    <w:rsid w:val="00541F90"/>
    <w:rsid w:val="00542BA4"/>
    <w:rsid w:val="0055432F"/>
    <w:rsid w:val="00554B8F"/>
    <w:rsid w:val="00557CDE"/>
    <w:rsid w:val="00561806"/>
    <w:rsid w:val="0056525C"/>
    <w:rsid w:val="0057491F"/>
    <w:rsid w:val="00575F64"/>
    <w:rsid w:val="00581CBC"/>
    <w:rsid w:val="0058324C"/>
    <w:rsid w:val="00595FE7"/>
    <w:rsid w:val="005A0767"/>
    <w:rsid w:val="005A6543"/>
    <w:rsid w:val="005C1AE6"/>
    <w:rsid w:val="005C2777"/>
    <w:rsid w:val="005C419F"/>
    <w:rsid w:val="005D1769"/>
    <w:rsid w:val="005D2176"/>
    <w:rsid w:val="005D39BD"/>
    <w:rsid w:val="005D4F55"/>
    <w:rsid w:val="005D67BB"/>
    <w:rsid w:val="005D7A10"/>
    <w:rsid w:val="005E32C9"/>
    <w:rsid w:val="005E610C"/>
    <w:rsid w:val="005E74AF"/>
    <w:rsid w:val="005F08B8"/>
    <w:rsid w:val="005F33E4"/>
    <w:rsid w:val="005F6C5C"/>
    <w:rsid w:val="006022A8"/>
    <w:rsid w:val="00610EB7"/>
    <w:rsid w:val="0062618F"/>
    <w:rsid w:val="00627719"/>
    <w:rsid w:val="00635E01"/>
    <w:rsid w:val="00636125"/>
    <w:rsid w:val="0064430F"/>
    <w:rsid w:val="006474B1"/>
    <w:rsid w:val="0065704C"/>
    <w:rsid w:val="0065705F"/>
    <w:rsid w:val="006601EF"/>
    <w:rsid w:val="00660D11"/>
    <w:rsid w:val="00663B21"/>
    <w:rsid w:val="00667053"/>
    <w:rsid w:val="006700D8"/>
    <w:rsid w:val="006831BE"/>
    <w:rsid w:val="00687A94"/>
    <w:rsid w:val="00691FA6"/>
    <w:rsid w:val="006925AB"/>
    <w:rsid w:val="00692997"/>
    <w:rsid w:val="00695BB5"/>
    <w:rsid w:val="006A1E22"/>
    <w:rsid w:val="006A3412"/>
    <w:rsid w:val="006A5960"/>
    <w:rsid w:val="006B5002"/>
    <w:rsid w:val="006B53A1"/>
    <w:rsid w:val="006B75CE"/>
    <w:rsid w:val="006C0D89"/>
    <w:rsid w:val="006C259D"/>
    <w:rsid w:val="006C61D6"/>
    <w:rsid w:val="006D1400"/>
    <w:rsid w:val="006D442E"/>
    <w:rsid w:val="006E4598"/>
    <w:rsid w:val="006E4B8F"/>
    <w:rsid w:val="006F463D"/>
    <w:rsid w:val="00700855"/>
    <w:rsid w:val="007101D5"/>
    <w:rsid w:val="00712CE0"/>
    <w:rsid w:val="007254A4"/>
    <w:rsid w:val="007301CB"/>
    <w:rsid w:val="00737CA2"/>
    <w:rsid w:val="00740924"/>
    <w:rsid w:val="00741B25"/>
    <w:rsid w:val="0074658A"/>
    <w:rsid w:val="007469B1"/>
    <w:rsid w:val="00747036"/>
    <w:rsid w:val="007519CA"/>
    <w:rsid w:val="00753827"/>
    <w:rsid w:val="00756B69"/>
    <w:rsid w:val="007642CD"/>
    <w:rsid w:val="00767CF7"/>
    <w:rsid w:val="00772A1A"/>
    <w:rsid w:val="00774F84"/>
    <w:rsid w:val="00780D37"/>
    <w:rsid w:val="00780D76"/>
    <w:rsid w:val="00783B59"/>
    <w:rsid w:val="00794226"/>
    <w:rsid w:val="007A01BB"/>
    <w:rsid w:val="007A131F"/>
    <w:rsid w:val="007A5CE5"/>
    <w:rsid w:val="007B70D8"/>
    <w:rsid w:val="007C33C0"/>
    <w:rsid w:val="007C62F7"/>
    <w:rsid w:val="007C64F8"/>
    <w:rsid w:val="007D5057"/>
    <w:rsid w:val="007D7674"/>
    <w:rsid w:val="007D7A88"/>
    <w:rsid w:val="007E11D2"/>
    <w:rsid w:val="007E2BBE"/>
    <w:rsid w:val="007E5021"/>
    <w:rsid w:val="007E5694"/>
    <w:rsid w:val="007E5A6D"/>
    <w:rsid w:val="007E5B0A"/>
    <w:rsid w:val="007E7138"/>
    <w:rsid w:val="007E7349"/>
    <w:rsid w:val="007F4463"/>
    <w:rsid w:val="007F5A7B"/>
    <w:rsid w:val="00800076"/>
    <w:rsid w:val="008001DF"/>
    <w:rsid w:val="00800C7C"/>
    <w:rsid w:val="00802B04"/>
    <w:rsid w:val="00803021"/>
    <w:rsid w:val="008046B5"/>
    <w:rsid w:val="0081130C"/>
    <w:rsid w:val="00811EF7"/>
    <w:rsid w:val="008150FF"/>
    <w:rsid w:val="00815731"/>
    <w:rsid w:val="00822D37"/>
    <w:rsid w:val="00823F01"/>
    <w:rsid w:val="00827AC6"/>
    <w:rsid w:val="00827DDD"/>
    <w:rsid w:val="0083143E"/>
    <w:rsid w:val="00831EC9"/>
    <w:rsid w:val="00834606"/>
    <w:rsid w:val="00836FB3"/>
    <w:rsid w:val="008420EE"/>
    <w:rsid w:val="0084238D"/>
    <w:rsid w:val="00846A37"/>
    <w:rsid w:val="00850C9F"/>
    <w:rsid w:val="00852714"/>
    <w:rsid w:val="0087353C"/>
    <w:rsid w:val="00875271"/>
    <w:rsid w:val="00881438"/>
    <w:rsid w:val="00883900"/>
    <w:rsid w:val="00883B59"/>
    <w:rsid w:val="008857A2"/>
    <w:rsid w:val="00894DEA"/>
    <w:rsid w:val="008A11A2"/>
    <w:rsid w:val="008A11DB"/>
    <w:rsid w:val="008B3A0B"/>
    <w:rsid w:val="008B40D9"/>
    <w:rsid w:val="008B51B2"/>
    <w:rsid w:val="008C0DC2"/>
    <w:rsid w:val="008C2C5A"/>
    <w:rsid w:val="008C2F52"/>
    <w:rsid w:val="008D5358"/>
    <w:rsid w:val="008D7BE5"/>
    <w:rsid w:val="008E0329"/>
    <w:rsid w:val="008E7D17"/>
    <w:rsid w:val="008F17D5"/>
    <w:rsid w:val="008F19E5"/>
    <w:rsid w:val="0090269A"/>
    <w:rsid w:val="009046A4"/>
    <w:rsid w:val="0091575A"/>
    <w:rsid w:val="009224FC"/>
    <w:rsid w:val="009229A8"/>
    <w:rsid w:val="0093017B"/>
    <w:rsid w:val="0093197E"/>
    <w:rsid w:val="0093290E"/>
    <w:rsid w:val="0093550A"/>
    <w:rsid w:val="00936A20"/>
    <w:rsid w:val="00944633"/>
    <w:rsid w:val="00953650"/>
    <w:rsid w:val="00953687"/>
    <w:rsid w:val="00953CA3"/>
    <w:rsid w:val="009544C3"/>
    <w:rsid w:val="00957E37"/>
    <w:rsid w:val="0096017E"/>
    <w:rsid w:val="00960421"/>
    <w:rsid w:val="00960A8E"/>
    <w:rsid w:val="00964D54"/>
    <w:rsid w:val="00984892"/>
    <w:rsid w:val="00986C35"/>
    <w:rsid w:val="00990E38"/>
    <w:rsid w:val="00992424"/>
    <w:rsid w:val="009973D8"/>
    <w:rsid w:val="009A23C8"/>
    <w:rsid w:val="009A5EE7"/>
    <w:rsid w:val="009B041F"/>
    <w:rsid w:val="009B740E"/>
    <w:rsid w:val="009C070A"/>
    <w:rsid w:val="009C0726"/>
    <w:rsid w:val="009C48AF"/>
    <w:rsid w:val="009D00BF"/>
    <w:rsid w:val="009D09BE"/>
    <w:rsid w:val="009D16A1"/>
    <w:rsid w:val="009D4452"/>
    <w:rsid w:val="009D4E77"/>
    <w:rsid w:val="009D64B5"/>
    <w:rsid w:val="009E3134"/>
    <w:rsid w:val="009F0815"/>
    <w:rsid w:val="009F4E5A"/>
    <w:rsid w:val="009F68DA"/>
    <w:rsid w:val="00A06A71"/>
    <w:rsid w:val="00A06B72"/>
    <w:rsid w:val="00A072A3"/>
    <w:rsid w:val="00A11664"/>
    <w:rsid w:val="00A1227E"/>
    <w:rsid w:val="00A125A6"/>
    <w:rsid w:val="00A131FC"/>
    <w:rsid w:val="00A13A57"/>
    <w:rsid w:val="00A17664"/>
    <w:rsid w:val="00A31362"/>
    <w:rsid w:val="00A31535"/>
    <w:rsid w:val="00A31EBB"/>
    <w:rsid w:val="00A34535"/>
    <w:rsid w:val="00A34F9E"/>
    <w:rsid w:val="00A428AC"/>
    <w:rsid w:val="00A43221"/>
    <w:rsid w:val="00A44395"/>
    <w:rsid w:val="00A514AD"/>
    <w:rsid w:val="00A56356"/>
    <w:rsid w:val="00A568C4"/>
    <w:rsid w:val="00A642B4"/>
    <w:rsid w:val="00A66729"/>
    <w:rsid w:val="00A74BD1"/>
    <w:rsid w:val="00A754AD"/>
    <w:rsid w:val="00A779AD"/>
    <w:rsid w:val="00A82DB0"/>
    <w:rsid w:val="00A950E4"/>
    <w:rsid w:val="00A96B25"/>
    <w:rsid w:val="00AA3328"/>
    <w:rsid w:val="00AA786E"/>
    <w:rsid w:val="00AA7DBF"/>
    <w:rsid w:val="00AB0091"/>
    <w:rsid w:val="00AB12F4"/>
    <w:rsid w:val="00AB2971"/>
    <w:rsid w:val="00AC027F"/>
    <w:rsid w:val="00AC151D"/>
    <w:rsid w:val="00AC1B42"/>
    <w:rsid w:val="00AC2495"/>
    <w:rsid w:val="00AC2CE5"/>
    <w:rsid w:val="00AC42D7"/>
    <w:rsid w:val="00AC74EE"/>
    <w:rsid w:val="00AE13B1"/>
    <w:rsid w:val="00AE2345"/>
    <w:rsid w:val="00AE40E7"/>
    <w:rsid w:val="00AE5408"/>
    <w:rsid w:val="00AE5E97"/>
    <w:rsid w:val="00AE71EA"/>
    <w:rsid w:val="00AF14F7"/>
    <w:rsid w:val="00AF3AD8"/>
    <w:rsid w:val="00AF73C0"/>
    <w:rsid w:val="00B042D1"/>
    <w:rsid w:val="00B0539E"/>
    <w:rsid w:val="00B20325"/>
    <w:rsid w:val="00B205C7"/>
    <w:rsid w:val="00B341CE"/>
    <w:rsid w:val="00B35DCB"/>
    <w:rsid w:val="00B3767E"/>
    <w:rsid w:val="00B40C3D"/>
    <w:rsid w:val="00B43FED"/>
    <w:rsid w:val="00B4451E"/>
    <w:rsid w:val="00B5553C"/>
    <w:rsid w:val="00B56647"/>
    <w:rsid w:val="00B635B1"/>
    <w:rsid w:val="00B641D8"/>
    <w:rsid w:val="00B66D1A"/>
    <w:rsid w:val="00B722CA"/>
    <w:rsid w:val="00B82B32"/>
    <w:rsid w:val="00B852A7"/>
    <w:rsid w:val="00B855F3"/>
    <w:rsid w:val="00B865CE"/>
    <w:rsid w:val="00B91936"/>
    <w:rsid w:val="00B9286B"/>
    <w:rsid w:val="00B9519D"/>
    <w:rsid w:val="00BA0CF8"/>
    <w:rsid w:val="00BA2526"/>
    <w:rsid w:val="00BA4D47"/>
    <w:rsid w:val="00BA505A"/>
    <w:rsid w:val="00BA5B1F"/>
    <w:rsid w:val="00BB192B"/>
    <w:rsid w:val="00BB59E7"/>
    <w:rsid w:val="00BC116E"/>
    <w:rsid w:val="00BC3099"/>
    <w:rsid w:val="00BC3166"/>
    <w:rsid w:val="00BC6C52"/>
    <w:rsid w:val="00BD0230"/>
    <w:rsid w:val="00BD1B10"/>
    <w:rsid w:val="00BD4635"/>
    <w:rsid w:val="00BD4750"/>
    <w:rsid w:val="00BE2FEF"/>
    <w:rsid w:val="00BF3CE3"/>
    <w:rsid w:val="00BF466E"/>
    <w:rsid w:val="00BF501C"/>
    <w:rsid w:val="00C021BB"/>
    <w:rsid w:val="00C04A8D"/>
    <w:rsid w:val="00C1518E"/>
    <w:rsid w:val="00C17ABD"/>
    <w:rsid w:val="00C20345"/>
    <w:rsid w:val="00C205C2"/>
    <w:rsid w:val="00C2234F"/>
    <w:rsid w:val="00C2572B"/>
    <w:rsid w:val="00C3331A"/>
    <w:rsid w:val="00C3331D"/>
    <w:rsid w:val="00C36754"/>
    <w:rsid w:val="00C42A1F"/>
    <w:rsid w:val="00C45A37"/>
    <w:rsid w:val="00C45BA5"/>
    <w:rsid w:val="00C4732A"/>
    <w:rsid w:val="00C501CD"/>
    <w:rsid w:val="00C51C44"/>
    <w:rsid w:val="00C6095C"/>
    <w:rsid w:val="00C63D5B"/>
    <w:rsid w:val="00C660E1"/>
    <w:rsid w:val="00C6626E"/>
    <w:rsid w:val="00C7007B"/>
    <w:rsid w:val="00C70E9B"/>
    <w:rsid w:val="00C71679"/>
    <w:rsid w:val="00C743D8"/>
    <w:rsid w:val="00C74B7D"/>
    <w:rsid w:val="00C74D31"/>
    <w:rsid w:val="00C7572C"/>
    <w:rsid w:val="00C774C4"/>
    <w:rsid w:val="00C8371A"/>
    <w:rsid w:val="00C93B99"/>
    <w:rsid w:val="00CA21D0"/>
    <w:rsid w:val="00CA26B0"/>
    <w:rsid w:val="00CA49B9"/>
    <w:rsid w:val="00CA5B9B"/>
    <w:rsid w:val="00CB7402"/>
    <w:rsid w:val="00CC0E9E"/>
    <w:rsid w:val="00CC471D"/>
    <w:rsid w:val="00CC4E1D"/>
    <w:rsid w:val="00CC7386"/>
    <w:rsid w:val="00CC7ACD"/>
    <w:rsid w:val="00CD604C"/>
    <w:rsid w:val="00CE0794"/>
    <w:rsid w:val="00CE0F38"/>
    <w:rsid w:val="00CE4064"/>
    <w:rsid w:val="00CE4F1A"/>
    <w:rsid w:val="00CE5A44"/>
    <w:rsid w:val="00CE5C2E"/>
    <w:rsid w:val="00CE7AA4"/>
    <w:rsid w:val="00CF1775"/>
    <w:rsid w:val="00CF4972"/>
    <w:rsid w:val="00D05C32"/>
    <w:rsid w:val="00D07989"/>
    <w:rsid w:val="00D11FE4"/>
    <w:rsid w:val="00D1698F"/>
    <w:rsid w:val="00D17F31"/>
    <w:rsid w:val="00D2429D"/>
    <w:rsid w:val="00D33AD0"/>
    <w:rsid w:val="00D36F83"/>
    <w:rsid w:val="00D37E75"/>
    <w:rsid w:val="00D41D30"/>
    <w:rsid w:val="00D41EFA"/>
    <w:rsid w:val="00D43C3B"/>
    <w:rsid w:val="00D44A87"/>
    <w:rsid w:val="00D45110"/>
    <w:rsid w:val="00D45B75"/>
    <w:rsid w:val="00D53D31"/>
    <w:rsid w:val="00D57097"/>
    <w:rsid w:val="00D57921"/>
    <w:rsid w:val="00D60318"/>
    <w:rsid w:val="00D61EEB"/>
    <w:rsid w:val="00D65CED"/>
    <w:rsid w:val="00D70185"/>
    <w:rsid w:val="00D70686"/>
    <w:rsid w:val="00D76527"/>
    <w:rsid w:val="00D92239"/>
    <w:rsid w:val="00DA16E9"/>
    <w:rsid w:val="00DA5B08"/>
    <w:rsid w:val="00DB0220"/>
    <w:rsid w:val="00DB10EC"/>
    <w:rsid w:val="00DB169C"/>
    <w:rsid w:val="00DB3260"/>
    <w:rsid w:val="00DB4653"/>
    <w:rsid w:val="00DC1CBF"/>
    <w:rsid w:val="00DC3017"/>
    <w:rsid w:val="00DD13BB"/>
    <w:rsid w:val="00DE4608"/>
    <w:rsid w:val="00DE60DB"/>
    <w:rsid w:val="00DF00E6"/>
    <w:rsid w:val="00DF06B5"/>
    <w:rsid w:val="00DF3983"/>
    <w:rsid w:val="00E045D6"/>
    <w:rsid w:val="00E05968"/>
    <w:rsid w:val="00E0665B"/>
    <w:rsid w:val="00E06B49"/>
    <w:rsid w:val="00E07611"/>
    <w:rsid w:val="00E10E9F"/>
    <w:rsid w:val="00E15C55"/>
    <w:rsid w:val="00E20048"/>
    <w:rsid w:val="00E200B6"/>
    <w:rsid w:val="00E21B89"/>
    <w:rsid w:val="00E23723"/>
    <w:rsid w:val="00E23E97"/>
    <w:rsid w:val="00E257D9"/>
    <w:rsid w:val="00E36669"/>
    <w:rsid w:val="00E438C3"/>
    <w:rsid w:val="00E4410A"/>
    <w:rsid w:val="00E458B9"/>
    <w:rsid w:val="00E47D47"/>
    <w:rsid w:val="00E615CA"/>
    <w:rsid w:val="00E62CDD"/>
    <w:rsid w:val="00E6404F"/>
    <w:rsid w:val="00E71A3E"/>
    <w:rsid w:val="00E75768"/>
    <w:rsid w:val="00E768FE"/>
    <w:rsid w:val="00E80BE2"/>
    <w:rsid w:val="00E83250"/>
    <w:rsid w:val="00E844C8"/>
    <w:rsid w:val="00E8550A"/>
    <w:rsid w:val="00E94DF5"/>
    <w:rsid w:val="00EA0DF6"/>
    <w:rsid w:val="00EA2A6B"/>
    <w:rsid w:val="00EA520C"/>
    <w:rsid w:val="00EA72A7"/>
    <w:rsid w:val="00EB7C68"/>
    <w:rsid w:val="00EC0A7C"/>
    <w:rsid w:val="00EC3111"/>
    <w:rsid w:val="00EC51F2"/>
    <w:rsid w:val="00ED0837"/>
    <w:rsid w:val="00ED208C"/>
    <w:rsid w:val="00ED282A"/>
    <w:rsid w:val="00ED32AE"/>
    <w:rsid w:val="00ED36CE"/>
    <w:rsid w:val="00EE3924"/>
    <w:rsid w:val="00EE4101"/>
    <w:rsid w:val="00EE5F21"/>
    <w:rsid w:val="00F01FC9"/>
    <w:rsid w:val="00F03CEC"/>
    <w:rsid w:val="00F0788F"/>
    <w:rsid w:val="00F07F7A"/>
    <w:rsid w:val="00F1236E"/>
    <w:rsid w:val="00F20699"/>
    <w:rsid w:val="00F23E43"/>
    <w:rsid w:val="00F24013"/>
    <w:rsid w:val="00F27295"/>
    <w:rsid w:val="00F30510"/>
    <w:rsid w:val="00F31650"/>
    <w:rsid w:val="00F33222"/>
    <w:rsid w:val="00F4153B"/>
    <w:rsid w:val="00F455FF"/>
    <w:rsid w:val="00F50CFB"/>
    <w:rsid w:val="00F576C3"/>
    <w:rsid w:val="00F61770"/>
    <w:rsid w:val="00F67E1F"/>
    <w:rsid w:val="00F71901"/>
    <w:rsid w:val="00F74F36"/>
    <w:rsid w:val="00F763EE"/>
    <w:rsid w:val="00F76890"/>
    <w:rsid w:val="00F770DA"/>
    <w:rsid w:val="00F8061B"/>
    <w:rsid w:val="00FA4646"/>
    <w:rsid w:val="00FA49BB"/>
    <w:rsid w:val="00FA6B87"/>
    <w:rsid w:val="00FB5258"/>
    <w:rsid w:val="00FC1FD0"/>
    <w:rsid w:val="00FC4824"/>
    <w:rsid w:val="00FD58C3"/>
    <w:rsid w:val="00FD69D8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8D8"/>
    <w:rPr>
      <w:rFonts w:ascii="Arial" w:eastAsia="Arial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08D8"/>
    <w:pPr>
      <w:spacing w:after="0" w:line="240" w:lineRule="auto"/>
    </w:pPr>
    <w:rPr>
      <w:rFonts w:ascii="Arial" w:eastAsia="Arial" w:hAnsi="Arial" w:cs="Times New Roman"/>
    </w:rPr>
  </w:style>
  <w:style w:type="character" w:customStyle="1" w:styleId="TextlnkuChar">
    <w:name w:val="Text článku Char"/>
    <w:link w:val="Textlnku"/>
    <w:locked/>
    <w:rsid w:val="005308D8"/>
    <w:rPr>
      <w:rFonts w:ascii="Calibri" w:eastAsia="Calibri" w:hAnsi="Calibri"/>
    </w:rPr>
  </w:style>
  <w:style w:type="paragraph" w:customStyle="1" w:styleId="Textlnku">
    <w:name w:val="Text článku"/>
    <w:basedOn w:val="Normln"/>
    <w:link w:val="TextlnkuChar"/>
    <w:rsid w:val="005308D8"/>
    <w:pPr>
      <w:spacing w:before="240"/>
      <w:ind w:firstLine="425"/>
      <w:outlineLvl w:val="5"/>
    </w:pPr>
    <w:rPr>
      <w:rFonts w:ascii="Calibri" w:eastAsia="Calibri" w:hAnsi="Calibr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4285"/>
    <w:rPr>
      <w:rFonts w:ascii="Tahoma" w:eastAsia="Arial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2C3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C3267"/>
    <w:rPr>
      <w:rFonts w:ascii="Arial" w:eastAsia="Arial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2C3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3267"/>
    <w:rPr>
      <w:rFonts w:ascii="Arial" w:eastAsia="Arial" w:hAnsi="Arial" w:cs="Times New Roman"/>
    </w:rPr>
  </w:style>
  <w:style w:type="paragraph" w:styleId="Odstavecseseznamem">
    <w:name w:val="List Paragraph"/>
    <w:basedOn w:val="Normln"/>
    <w:uiPriority w:val="34"/>
    <w:qFormat/>
    <w:rsid w:val="00AF3AD8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AF3AD8"/>
    <w:pPr>
      <w:spacing w:after="0" w:line="240" w:lineRule="auto"/>
    </w:pPr>
    <w:rPr>
      <w:rFonts w:ascii="Calibri" w:eastAsiaTheme="minorHAnsi" w:hAnsi="Calibri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F3AD8"/>
    <w:rPr>
      <w:rFonts w:ascii="Calibri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8D8"/>
    <w:rPr>
      <w:rFonts w:ascii="Arial" w:eastAsia="Arial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08D8"/>
    <w:pPr>
      <w:spacing w:after="0" w:line="240" w:lineRule="auto"/>
    </w:pPr>
    <w:rPr>
      <w:rFonts w:ascii="Arial" w:eastAsia="Arial" w:hAnsi="Arial" w:cs="Times New Roman"/>
    </w:rPr>
  </w:style>
  <w:style w:type="character" w:customStyle="1" w:styleId="TextlnkuChar">
    <w:name w:val="Text článku Char"/>
    <w:link w:val="Textlnku"/>
    <w:locked/>
    <w:rsid w:val="005308D8"/>
    <w:rPr>
      <w:rFonts w:ascii="Calibri" w:eastAsia="Calibri" w:hAnsi="Calibri"/>
    </w:rPr>
  </w:style>
  <w:style w:type="paragraph" w:customStyle="1" w:styleId="Textlnku">
    <w:name w:val="Text článku"/>
    <w:basedOn w:val="Normln"/>
    <w:link w:val="TextlnkuChar"/>
    <w:rsid w:val="005308D8"/>
    <w:pPr>
      <w:spacing w:before="240"/>
      <w:ind w:firstLine="425"/>
      <w:outlineLvl w:val="5"/>
    </w:pPr>
    <w:rPr>
      <w:rFonts w:ascii="Calibri" w:eastAsia="Calibri" w:hAnsi="Calibr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4285"/>
    <w:rPr>
      <w:rFonts w:ascii="Tahoma" w:eastAsia="Arial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2C3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C3267"/>
    <w:rPr>
      <w:rFonts w:ascii="Arial" w:eastAsia="Arial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2C3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3267"/>
    <w:rPr>
      <w:rFonts w:ascii="Arial" w:eastAsia="Arial" w:hAnsi="Arial" w:cs="Times New Roman"/>
    </w:rPr>
  </w:style>
  <w:style w:type="paragraph" w:styleId="Odstavecseseznamem">
    <w:name w:val="List Paragraph"/>
    <w:basedOn w:val="Normln"/>
    <w:uiPriority w:val="34"/>
    <w:qFormat/>
    <w:rsid w:val="00AF3AD8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AF3AD8"/>
    <w:pPr>
      <w:spacing w:after="0" w:line="240" w:lineRule="auto"/>
    </w:pPr>
    <w:rPr>
      <w:rFonts w:ascii="Calibri" w:eastAsiaTheme="minorHAnsi" w:hAnsi="Calibri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F3AD8"/>
    <w:rPr>
      <w:rFonts w:ascii="Calibri" w:hAnsi="Calibri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71F0D-3C30-4C43-8A25-45BCFCE1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Vargošová Věra (MPSV)</dc:creator>
  <cp:lastModifiedBy>OSPZV3 ospzv3</cp:lastModifiedBy>
  <cp:revision>2</cp:revision>
  <cp:lastPrinted>2018-03-05T13:40:00Z</cp:lastPrinted>
  <dcterms:created xsi:type="dcterms:W3CDTF">2018-03-05T13:40:00Z</dcterms:created>
  <dcterms:modified xsi:type="dcterms:W3CDTF">2018-03-05T13:40:00Z</dcterms:modified>
</cp:coreProperties>
</file>